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567"/>
        <w:gridCol w:w="6155"/>
        <w:gridCol w:w="6298"/>
        <w:gridCol w:w="537"/>
      </w:tblGrid>
      <w:tr w:rsidR="00BB123A" w:rsidRPr="006925C7" w14:paraId="4042BB28" w14:textId="24CAB970" w:rsidTr="00652342">
        <w:tc>
          <w:tcPr>
            <w:tcW w:w="198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5C449670" w:rsidR="00BB123A" w:rsidRPr="006925C7" w:rsidRDefault="00BB123A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0526"/>
          </w:tcPr>
          <w:p w14:paraId="646DB918" w14:textId="62AD24E8" w:rsidR="00BB123A" w:rsidRDefault="00BB123A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6155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2EE00D5F" w:rsidR="00BB123A" w:rsidRPr="006925C7" w:rsidRDefault="00BB123A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Teamleider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477FB819" w:rsidR="00BB123A" w:rsidRDefault="00BB123A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Teamleider II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80526"/>
          </w:tcPr>
          <w:p w14:paraId="1038BD61" w14:textId="276DBB7D" w:rsidR="00BB123A" w:rsidRDefault="00BB123A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BB123A" w:rsidRPr="004C3EC4" w14:paraId="6C565128" w14:textId="6BC5F4D9" w:rsidTr="00BB123A">
        <w:trPr>
          <w:trHeight w:val="1079"/>
        </w:trPr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0EAEF1DB" w:rsidR="00BB123A" w:rsidRPr="00521AEC" w:rsidRDefault="00BB123A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Aandachtsgebied</w:t>
            </w:r>
          </w:p>
        </w:tc>
        <w:tc>
          <w:tcPr>
            <w:tcW w:w="567" w:type="dxa"/>
            <w:vMerge w:val="restart"/>
            <w:textDirection w:val="tbRlV"/>
          </w:tcPr>
          <w:p w14:paraId="4896F303" w14:textId="3BAA9D2F" w:rsidR="00BB123A" w:rsidRPr="0071329F" w:rsidRDefault="00BB123A" w:rsidP="00BB123A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Zie referentiefunctie en NOK-bijlage operator productie</w:t>
            </w:r>
          </w:p>
        </w:tc>
        <w:tc>
          <w:tcPr>
            <w:tcW w:w="615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E36D4A" w14:textId="6062C7C6" w:rsidR="00BB123A" w:rsidRPr="0071329F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-</w:t>
            </w:r>
            <w:r w:rsidRPr="0071329F">
              <w:rPr>
                <w:color w:val="auto"/>
                <w:sz w:val="16"/>
                <w:lang w:bidi="x-none"/>
              </w:rPr>
              <w:tab/>
            </w:r>
            <w:r>
              <w:rPr>
                <w:color w:val="auto"/>
                <w:sz w:val="16"/>
                <w:lang w:bidi="x-none"/>
              </w:rPr>
              <w:t>M</w:t>
            </w:r>
            <w:r w:rsidRPr="0071329F">
              <w:rPr>
                <w:color w:val="auto"/>
                <w:sz w:val="16"/>
                <w:lang w:bidi="x-none"/>
              </w:rPr>
              <w:t>eerdere inpak-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Pr="0071329F">
              <w:rPr>
                <w:color w:val="auto"/>
                <w:sz w:val="16"/>
                <w:lang w:bidi="x-none"/>
              </w:rPr>
              <w:t xml:space="preserve">of productielijnen met </w:t>
            </w:r>
            <w:r w:rsidRPr="0099645C">
              <w:rPr>
                <w:i/>
                <w:color w:val="auto"/>
                <w:sz w:val="16"/>
                <w:lang w:bidi="x-none"/>
              </w:rPr>
              <w:t>dezelfde</w:t>
            </w:r>
            <w:r>
              <w:rPr>
                <w:color w:val="auto"/>
                <w:sz w:val="16"/>
                <w:lang w:bidi="x-none"/>
              </w:rPr>
              <w:t xml:space="preserve"> (</w:t>
            </w:r>
            <w:proofErr w:type="spellStart"/>
            <w:r>
              <w:rPr>
                <w:color w:val="auto"/>
                <w:sz w:val="16"/>
                <w:lang w:bidi="x-none"/>
              </w:rPr>
              <w:t>be</w:t>
            </w:r>
            <w:proofErr w:type="spellEnd"/>
            <w:r>
              <w:rPr>
                <w:color w:val="auto"/>
                <w:sz w:val="16"/>
                <w:lang w:bidi="x-none"/>
              </w:rPr>
              <w:t>)werking.</w:t>
            </w:r>
          </w:p>
          <w:p w14:paraId="2EE46AB4" w14:textId="77777777" w:rsidR="00BB123A" w:rsidRPr="0071329F" w:rsidRDefault="00BB123A" w:rsidP="00B50EA8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Of:</w:t>
            </w:r>
          </w:p>
          <w:p w14:paraId="3B75E9FA" w14:textId="20A1E219" w:rsidR="00BB123A" w:rsidRPr="00000E55" w:rsidRDefault="00BB123A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-</w:t>
            </w:r>
            <w:r w:rsidRPr="0071329F">
              <w:rPr>
                <w:color w:val="auto"/>
                <w:sz w:val="16"/>
                <w:lang w:bidi="x-none"/>
              </w:rPr>
              <w:tab/>
            </w:r>
            <w:r w:rsidRPr="0099645C">
              <w:rPr>
                <w:i/>
                <w:color w:val="auto"/>
                <w:sz w:val="16"/>
                <w:lang w:bidi="x-none"/>
              </w:rPr>
              <w:t>Eén</w:t>
            </w:r>
            <w:r w:rsidRPr="0071329F">
              <w:rPr>
                <w:color w:val="auto"/>
                <w:sz w:val="16"/>
                <w:lang w:bidi="x-none"/>
              </w:rPr>
              <w:t xml:space="preserve"> complexe geautomatiseerde inpak- of productielijn.</w:t>
            </w: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14:paraId="264DC045" w14:textId="1DF62D16" w:rsidR="00BB123A" w:rsidRPr="0071329F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-</w:t>
            </w:r>
            <w:r w:rsidRPr="0071329F">
              <w:rPr>
                <w:color w:val="auto"/>
                <w:sz w:val="16"/>
                <w:lang w:bidi="x-none"/>
              </w:rPr>
              <w:tab/>
            </w:r>
            <w:r>
              <w:rPr>
                <w:color w:val="auto"/>
                <w:sz w:val="16"/>
                <w:lang w:bidi="x-none"/>
              </w:rPr>
              <w:t>M</w:t>
            </w:r>
            <w:r w:rsidRPr="0071329F">
              <w:rPr>
                <w:color w:val="auto"/>
                <w:sz w:val="16"/>
                <w:lang w:bidi="x-none"/>
              </w:rPr>
              <w:t xml:space="preserve">eerdere inpak- of productielijnen met </w:t>
            </w:r>
            <w:r w:rsidRPr="00497310">
              <w:rPr>
                <w:i/>
                <w:color w:val="auto"/>
                <w:sz w:val="16"/>
                <w:lang w:bidi="x-none"/>
              </w:rPr>
              <w:t>verschillende</w:t>
            </w:r>
            <w:r>
              <w:rPr>
                <w:color w:val="auto"/>
                <w:sz w:val="16"/>
                <w:lang w:bidi="x-none"/>
              </w:rPr>
              <w:t xml:space="preserve"> (</w:t>
            </w:r>
            <w:proofErr w:type="spellStart"/>
            <w:r>
              <w:rPr>
                <w:color w:val="auto"/>
                <w:sz w:val="16"/>
                <w:lang w:bidi="x-none"/>
              </w:rPr>
              <w:t>be</w:t>
            </w:r>
            <w:proofErr w:type="spellEnd"/>
            <w:r>
              <w:rPr>
                <w:color w:val="auto"/>
                <w:sz w:val="16"/>
                <w:lang w:bidi="x-none"/>
              </w:rPr>
              <w:t>)werking.</w:t>
            </w:r>
          </w:p>
          <w:p w14:paraId="0FD5E2F9" w14:textId="77777777" w:rsidR="00BB123A" w:rsidRPr="0071329F" w:rsidRDefault="00BB123A" w:rsidP="00B50EA8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Of:</w:t>
            </w:r>
          </w:p>
          <w:p w14:paraId="7ABCD8CD" w14:textId="2C0ADA13" w:rsidR="00BB123A" w:rsidRPr="00000E55" w:rsidRDefault="00BB123A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-</w:t>
            </w:r>
            <w:r w:rsidRPr="0071329F">
              <w:rPr>
                <w:color w:val="auto"/>
                <w:sz w:val="16"/>
                <w:lang w:bidi="x-none"/>
              </w:rPr>
              <w:tab/>
            </w:r>
            <w:r w:rsidRPr="00497310">
              <w:rPr>
                <w:i/>
                <w:color w:val="auto"/>
                <w:sz w:val="16"/>
                <w:lang w:bidi="x-none"/>
              </w:rPr>
              <w:t>Meerdere</w:t>
            </w:r>
            <w:r w:rsidRPr="0071329F">
              <w:rPr>
                <w:color w:val="auto"/>
                <w:sz w:val="16"/>
                <w:lang w:bidi="x-none"/>
              </w:rPr>
              <w:t xml:space="preserve"> complexe geautomatiseerde inpak- of productielijnen.</w:t>
            </w:r>
          </w:p>
        </w:tc>
        <w:tc>
          <w:tcPr>
            <w:tcW w:w="537" w:type="dxa"/>
            <w:vMerge w:val="restart"/>
            <w:textDirection w:val="tbRlV"/>
          </w:tcPr>
          <w:p w14:paraId="244F1508" w14:textId="1B5CE779" w:rsidR="00BB123A" w:rsidRPr="0071329F" w:rsidRDefault="00BB123A" w:rsidP="00BB123A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Zie referentiefunctie en NOK-bijlage afdelingsmanager</w:t>
            </w:r>
          </w:p>
        </w:tc>
      </w:tr>
      <w:tr w:rsidR="00BB123A" w:rsidRPr="004C3EC4" w14:paraId="037D5034" w14:textId="08E6927A" w:rsidTr="00BB123A">
        <w:tc>
          <w:tcPr>
            <w:tcW w:w="1981" w:type="dxa"/>
            <w:shd w:val="clear" w:color="auto" w:fill="auto"/>
          </w:tcPr>
          <w:p w14:paraId="46745927" w14:textId="1F97AC0C" w:rsidR="00BB123A" w:rsidRPr="00521AEC" w:rsidRDefault="00BB123A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Aard van leidinggeven</w:t>
            </w:r>
          </w:p>
        </w:tc>
        <w:tc>
          <w:tcPr>
            <w:tcW w:w="567" w:type="dxa"/>
            <w:vMerge/>
          </w:tcPr>
          <w:p w14:paraId="240DF096" w14:textId="77777777" w:rsidR="00BB123A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6155" w:type="dxa"/>
            <w:tcMar>
              <w:top w:w="57" w:type="dxa"/>
              <w:bottom w:w="57" w:type="dxa"/>
            </w:tcMar>
          </w:tcPr>
          <w:p w14:paraId="15306DE3" w14:textId="61F58C22" w:rsidR="00BB123A" w:rsidRPr="004D40FF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Vaktechnisch/functioneel</w:t>
            </w:r>
            <w:r w:rsidRPr="004D40FF">
              <w:rPr>
                <w:color w:val="auto"/>
                <w:sz w:val="16"/>
              </w:rPr>
              <w:t xml:space="preserve"> leidinggeven aan </w:t>
            </w:r>
            <w:r w:rsidRPr="004D40FF">
              <w:rPr>
                <w:color w:val="auto"/>
                <w:sz w:val="16"/>
                <w:lang w:bidi="x-none"/>
              </w:rPr>
              <w:t xml:space="preserve">± </w:t>
            </w:r>
            <w:r>
              <w:rPr>
                <w:color w:val="auto"/>
                <w:sz w:val="16"/>
              </w:rPr>
              <w:t>5 medewerkers (coördinerende rol).</w:t>
            </w:r>
          </w:p>
          <w:p w14:paraId="09BA539E" w14:textId="0E5D46EE" w:rsidR="00BB123A" w:rsidRPr="00000E55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N</w:t>
            </w:r>
            <w:r w:rsidRPr="0071329F">
              <w:rPr>
                <w:color w:val="auto"/>
                <w:sz w:val="16"/>
              </w:rPr>
              <w:t>adruk ligt op meewerken.</w:t>
            </w:r>
          </w:p>
        </w:tc>
        <w:tc>
          <w:tcPr>
            <w:tcW w:w="6298" w:type="dxa"/>
          </w:tcPr>
          <w:p w14:paraId="33BB04E6" w14:textId="4C0F5A29" w:rsidR="00BB123A" w:rsidRPr="0071329F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H</w:t>
            </w:r>
            <w:r w:rsidRPr="0071329F">
              <w:rPr>
                <w:color w:val="auto"/>
                <w:sz w:val="16"/>
                <w:lang w:bidi="x-none"/>
              </w:rPr>
              <w:t>iërarchisch leidinggeven aan ± 10 medewerkers</w:t>
            </w:r>
            <w:r>
              <w:rPr>
                <w:color w:val="auto"/>
                <w:sz w:val="16"/>
                <w:lang w:bidi="x-none"/>
              </w:rPr>
              <w:t xml:space="preserve"> (leidinggevende rol).</w:t>
            </w:r>
          </w:p>
          <w:p w14:paraId="6966B89C" w14:textId="2A855CD1" w:rsidR="00BB123A" w:rsidRPr="00000E55" w:rsidRDefault="00BB123A" w:rsidP="004D40FF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N</w:t>
            </w:r>
            <w:r w:rsidRPr="0071329F">
              <w:rPr>
                <w:color w:val="auto"/>
                <w:sz w:val="16"/>
                <w:lang w:bidi="x-none"/>
              </w:rPr>
              <w:t>adruk ligt op aansturen en meewerken waar nodig.</w:t>
            </w:r>
          </w:p>
        </w:tc>
        <w:tc>
          <w:tcPr>
            <w:tcW w:w="537" w:type="dxa"/>
            <w:vMerge/>
          </w:tcPr>
          <w:p w14:paraId="108DF923" w14:textId="77777777" w:rsidR="00BB123A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BB123A" w:rsidRPr="004C3EC4" w14:paraId="5118F011" w14:textId="319B6AA3" w:rsidTr="00BB123A">
        <w:tc>
          <w:tcPr>
            <w:tcW w:w="1981" w:type="dxa"/>
          </w:tcPr>
          <w:p w14:paraId="797A8599" w14:textId="12E42589" w:rsidR="00BB123A" w:rsidRPr="00521AEC" w:rsidRDefault="00BB123A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567" w:type="dxa"/>
            <w:vMerge/>
          </w:tcPr>
          <w:p w14:paraId="59B47A29" w14:textId="77777777" w:rsidR="00BB123A" w:rsidRDefault="00BB123A" w:rsidP="004D40FF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55" w:type="dxa"/>
            <w:tcMar>
              <w:top w:w="57" w:type="dxa"/>
              <w:bottom w:w="57" w:type="dxa"/>
            </w:tcMar>
          </w:tcPr>
          <w:p w14:paraId="61760E85" w14:textId="45D3641D" w:rsidR="00BB123A" w:rsidRDefault="00BB123A" w:rsidP="004D40FF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R</w:t>
            </w:r>
            <w:r w:rsidRPr="0071329F">
              <w:rPr>
                <w:color w:val="auto"/>
                <w:sz w:val="16"/>
                <w:lang w:bidi="x-none"/>
              </w:rPr>
              <w:t>ealiseren van de productiebatches binnen de vastgestelde</w:t>
            </w:r>
            <w:r>
              <w:rPr>
                <w:color w:val="auto"/>
                <w:sz w:val="16"/>
                <w:lang w:bidi="x-none"/>
              </w:rPr>
              <w:t xml:space="preserve"> volgorde en verdeling, gebruik</w:t>
            </w:r>
            <w:r w:rsidRPr="0071329F">
              <w:rPr>
                <w:color w:val="auto"/>
                <w:sz w:val="16"/>
                <w:lang w:bidi="x-none"/>
              </w:rPr>
              <w:t>makend van de beschikbare</w:t>
            </w:r>
            <w:r>
              <w:rPr>
                <w:color w:val="auto"/>
                <w:sz w:val="16"/>
                <w:lang w:bidi="x-none"/>
              </w:rPr>
              <w:t xml:space="preserve"> middelen (personeel/materieel);</w:t>
            </w:r>
          </w:p>
          <w:p w14:paraId="2D54CD1E" w14:textId="2E9D57FE" w:rsidR="00BB123A" w:rsidRDefault="00BB123A" w:rsidP="004D40FF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Aandacht is primair gericht op eigen team;</w:t>
            </w:r>
          </w:p>
          <w:p w14:paraId="0917ECC5" w14:textId="217B3E55" w:rsidR="00BB123A" w:rsidRPr="0071329F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</w:t>
            </w:r>
            <w:r w:rsidRPr="0071329F">
              <w:rPr>
                <w:color w:val="auto"/>
                <w:sz w:val="16"/>
                <w:lang w:bidi="x-none"/>
              </w:rPr>
              <w:t xml:space="preserve">e teamleider I werkt volgens vastomlijnde regels en voorschriften. Hij weet wat, wanneer en hoe gedaan moet worden. </w:t>
            </w:r>
          </w:p>
          <w:p w14:paraId="274CE9EC" w14:textId="4602AA61" w:rsidR="00BB123A" w:rsidRPr="0071329F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-</w:t>
            </w:r>
            <w:r w:rsidRPr="0071329F">
              <w:rPr>
                <w:color w:val="auto"/>
                <w:sz w:val="16"/>
                <w:lang w:bidi="x-none"/>
              </w:rPr>
              <w:tab/>
            </w:r>
            <w:r>
              <w:rPr>
                <w:color w:val="auto"/>
                <w:sz w:val="16"/>
                <w:lang w:bidi="x-none"/>
              </w:rPr>
              <w:t>B</w:t>
            </w:r>
            <w:r w:rsidRPr="0071329F">
              <w:rPr>
                <w:color w:val="auto"/>
                <w:sz w:val="16"/>
                <w:lang w:bidi="x-none"/>
              </w:rPr>
              <w:t>esluiten die hij neemt kan hij nemen op basis van eerdere situaties of bestaande afspraken. Bij twijfel of onduidelijkheid valt hij terug op de leidinggevende.</w:t>
            </w:r>
          </w:p>
          <w:p w14:paraId="5A1D558B" w14:textId="404D5E78" w:rsidR="00BB123A" w:rsidRPr="00000E55" w:rsidRDefault="00BB123A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298" w:type="dxa"/>
          </w:tcPr>
          <w:p w14:paraId="4CB6D24F" w14:textId="37A034BE" w:rsidR="00BB123A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L</w:t>
            </w:r>
            <w:r w:rsidRPr="0071329F">
              <w:rPr>
                <w:color w:val="auto"/>
                <w:sz w:val="16"/>
                <w:lang w:bidi="x-none"/>
              </w:rPr>
              <w:t xml:space="preserve">everen van </w:t>
            </w:r>
            <w:r>
              <w:rPr>
                <w:color w:val="auto"/>
                <w:sz w:val="16"/>
                <w:lang w:bidi="x-none"/>
              </w:rPr>
              <w:t>inbreng voor</w:t>
            </w:r>
            <w:r w:rsidRPr="0071329F">
              <w:rPr>
                <w:color w:val="auto"/>
                <w:sz w:val="16"/>
                <w:lang w:bidi="x-none"/>
              </w:rPr>
              <w:t xml:space="preserve"> afdelingsplannen, deel</w:t>
            </w:r>
            <w:r w:rsidRPr="0071329F">
              <w:rPr>
                <w:color w:val="auto"/>
                <w:sz w:val="16"/>
                <w:lang w:bidi="x-none"/>
              </w:rPr>
              <w:softHyphen/>
              <w:t>processen e</w:t>
            </w:r>
            <w:r>
              <w:rPr>
                <w:color w:val="auto"/>
                <w:sz w:val="16"/>
                <w:lang w:bidi="x-none"/>
              </w:rPr>
              <w:t>n verbetering van de werkwijzen.</w:t>
            </w:r>
          </w:p>
          <w:p w14:paraId="092798E6" w14:textId="3F43BF2F" w:rsidR="00BB123A" w:rsidRPr="0071329F" w:rsidRDefault="00BB123A" w:rsidP="00BA013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Idem I + aandacht voor de keten (collega-afdelingen) en leveranciers (bestelling).</w:t>
            </w:r>
          </w:p>
          <w:p w14:paraId="1CAEF6CB" w14:textId="2EE8F47D" w:rsidR="00BB123A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R</w:t>
            </w:r>
            <w:r w:rsidRPr="0071329F">
              <w:rPr>
                <w:color w:val="auto"/>
                <w:sz w:val="16"/>
                <w:lang w:bidi="x-none"/>
              </w:rPr>
              <w:t>ealiseren van dag-/ploegplanning op basis van een efficiënte en effectieve</w:t>
            </w:r>
            <w:r>
              <w:rPr>
                <w:color w:val="auto"/>
                <w:sz w:val="16"/>
                <w:lang w:bidi="x-none"/>
              </w:rPr>
              <w:t xml:space="preserve"> capaciteit- en personeelsinzet.</w:t>
            </w:r>
          </w:p>
          <w:p w14:paraId="1F6476B2" w14:textId="1814282E" w:rsidR="00BB123A" w:rsidRPr="0071329F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1329F">
              <w:rPr>
                <w:color w:val="auto"/>
                <w:sz w:val="16"/>
                <w:lang w:bidi="x-none"/>
              </w:rPr>
              <w:t>-</w:t>
            </w:r>
            <w:r w:rsidRPr="0071329F">
              <w:rPr>
                <w:color w:val="auto"/>
                <w:sz w:val="16"/>
                <w:lang w:bidi="x-none"/>
              </w:rPr>
              <w:tab/>
            </w:r>
            <w:r>
              <w:rPr>
                <w:color w:val="auto"/>
                <w:sz w:val="16"/>
                <w:lang w:bidi="x-none"/>
              </w:rPr>
              <w:t>I</w:t>
            </w:r>
            <w:r w:rsidRPr="0071329F">
              <w:rPr>
                <w:color w:val="auto"/>
                <w:sz w:val="16"/>
                <w:lang w:bidi="x-none"/>
              </w:rPr>
              <w:t xml:space="preserve">ndien zich problemen voordoen die al eerder aan de orde zijn geweest, neemt </w:t>
            </w:r>
            <w:r>
              <w:rPr>
                <w:color w:val="auto"/>
                <w:sz w:val="16"/>
                <w:lang w:bidi="x-none"/>
              </w:rPr>
              <w:t>de teamleider II</w:t>
            </w:r>
            <w:r w:rsidRPr="0071329F">
              <w:rPr>
                <w:color w:val="auto"/>
                <w:sz w:val="16"/>
                <w:lang w:bidi="x-none"/>
              </w:rPr>
              <w:t xml:space="preserve"> zelf een besluit en koppelt dat achteraf terug. Alleen bij </w:t>
            </w:r>
            <w:r>
              <w:rPr>
                <w:color w:val="auto"/>
                <w:sz w:val="16"/>
                <w:lang w:bidi="x-none"/>
              </w:rPr>
              <w:t>duidelijk</w:t>
            </w:r>
            <w:r w:rsidRPr="0071329F">
              <w:rPr>
                <w:color w:val="auto"/>
                <w:sz w:val="16"/>
                <w:lang w:bidi="x-none"/>
              </w:rPr>
              <w:t xml:space="preserve"> afwijkende situaties valt hij terug op de leidinggevende.</w:t>
            </w:r>
          </w:p>
          <w:p w14:paraId="38A8CEA6" w14:textId="2F42A068" w:rsidR="00BB123A" w:rsidRPr="00000E55" w:rsidRDefault="00BB123A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37" w:type="dxa"/>
            <w:vMerge/>
          </w:tcPr>
          <w:p w14:paraId="3256CE86" w14:textId="77777777" w:rsidR="00BB123A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BB123A" w:rsidRPr="004C3EC4" w14:paraId="5DE575FE" w14:textId="473DC651" w:rsidTr="00BB123A">
        <w:tc>
          <w:tcPr>
            <w:tcW w:w="1981" w:type="dxa"/>
          </w:tcPr>
          <w:p w14:paraId="5E431AAB" w14:textId="46EC70BB" w:rsidR="00BB123A" w:rsidRDefault="00BB123A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Verbetering</w:t>
            </w:r>
          </w:p>
        </w:tc>
        <w:tc>
          <w:tcPr>
            <w:tcW w:w="567" w:type="dxa"/>
            <w:vMerge/>
          </w:tcPr>
          <w:p w14:paraId="76918211" w14:textId="77777777" w:rsidR="00BB123A" w:rsidRDefault="00BB123A" w:rsidP="0052174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55" w:type="dxa"/>
            <w:tcMar>
              <w:top w:w="57" w:type="dxa"/>
              <w:bottom w:w="57" w:type="dxa"/>
            </w:tcMar>
          </w:tcPr>
          <w:p w14:paraId="4F62EF68" w14:textId="7BBF57A0" w:rsidR="00BB123A" w:rsidRDefault="00BB123A" w:rsidP="0052174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Opmerken en, na fiattering en uitwerking, invoeren van verbetermogelijkheden.</w:t>
            </w:r>
          </w:p>
        </w:tc>
        <w:tc>
          <w:tcPr>
            <w:tcW w:w="6298" w:type="dxa"/>
          </w:tcPr>
          <w:p w14:paraId="21874818" w14:textId="217DA257" w:rsidR="00BB123A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Idem I + doen van verbetervoorstellen (oplossingsrichtingen) en uitwerken van voorstellen.</w:t>
            </w:r>
          </w:p>
        </w:tc>
        <w:tc>
          <w:tcPr>
            <w:tcW w:w="537" w:type="dxa"/>
            <w:vMerge/>
          </w:tcPr>
          <w:p w14:paraId="27EDF0E3" w14:textId="77777777" w:rsidR="00BB123A" w:rsidRDefault="00BB123A" w:rsidP="000A428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BB123A" w:rsidRPr="006925C7" w14:paraId="3A2DC93D" w14:textId="6E3EF7AC" w:rsidTr="00BB123A">
        <w:tc>
          <w:tcPr>
            <w:tcW w:w="1981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4087FF13" w:rsidR="00BB123A" w:rsidRPr="006925C7" w:rsidRDefault="00BB123A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67" w:type="dxa"/>
            <w:shd w:val="clear" w:color="auto" w:fill="B80526"/>
          </w:tcPr>
          <w:p w14:paraId="426341BE" w14:textId="77777777" w:rsidR="00BB123A" w:rsidRDefault="00BB123A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6155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4737CA93" w:rsidR="00BB123A" w:rsidRPr="006925C7" w:rsidRDefault="00BB123A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7</w:t>
            </w:r>
          </w:p>
        </w:tc>
        <w:tc>
          <w:tcPr>
            <w:tcW w:w="6298" w:type="dxa"/>
            <w:shd w:val="clear" w:color="auto" w:fill="B80526"/>
          </w:tcPr>
          <w:p w14:paraId="5F255712" w14:textId="72938B6E" w:rsidR="00BB123A" w:rsidRPr="006925C7" w:rsidRDefault="00BB123A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8</w:t>
            </w:r>
          </w:p>
        </w:tc>
        <w:tc>
          <w:tcPr>
            <w:tcW w:w="537" w:type="dxa"/>
            <w:shd w:val="clear" w:color="auto" w:fill="B80526"/>
          </w:tcPr>
          <w:p w14:paraId="00B07F12" w14:textId="77777777" w:rsidR="00BB123A" w:rsidRDefault="00BB123A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</w:p>
    <w:p w14:paraId="2E8995FA" w14:textId="31B9E83A" w:rsidR="00000E55" w:rsidRPr="00000E55" w:rsidRDefault="00000E55" w:rsidP="0099645C">
      <w:pPr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00E55" w:rsidRPr="00000E55" w:rsidSect="00A166B6">
      <w:headerReference w:type="default" r:id="rId7"/>
      <w:footerReference w:type="default" r:id="rId8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29C8" w14:textId="77777777" w:rsidR="001855AD" w:rsidRDefault="001855AD" w:rsidP="00000E55">
      <w:pPr>
        <w:spacing w:line="240" w:lineRule="auto"/>
      </w:pPr>
      <w:r>
        <w:separator/>
      </w:r>
    </w:p>
  </w:endnote>
  <w:endnote w:type="continuationSeparator" w:id="0">
    <w:p w14:paraId="269B1BAE" w14:textId="77777777" w:rsidR="001855AD" w:rsidRDefault="001855AD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69AF86C3" w:rsidR="00B50EA8" w:rsidRPr="00000E55" w:rsidRDefault="00A63DE3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B50EA8">
      <w:rPr>
        <w:color w:val="auto"/>
        <w:sz w:val="16"/>
      </w:rPr>
      <w:tab/>
    </w:r>
    <w:r w:rsidR="00B50EA8" w:rsidRPr="00000E55">
      <w:rPr>
        <w:color w:val="auto"/>
        <w:sz w:val="16"/>
      </w:rPr>
      <w:t>Nivea</w:t>
    </w:r>
    <w:r w:rsidR="00B50EA8">
      <w:rPr>
        <w:color w:val="auto"/>
        <w:sz w:val="16"/>
      </w:rPr>
      <w:t>u onderscheidende kenmerken –</w:t>
    </w:r>
    <w:r w:rsidR="00B50EA8" w:rsidRPr="00000E55">
      <w:rPr>
        <w:color w:val="auto"/>
        <w:sz w:val="16"/>
      </w:rPr>
      <w:t xml:space="preserve"> </w:t>
    </w:r>
    <w:r w:rsidR="00B50EA8">
      <w:rPr>
        <w:color w:val="auto"/>
        <w:sz w:val="16"/>
      </w:rPr>
      <w:t>teamleider</w:t>
    </w:r>
    <w:r w:rsidR="00B50EA8" w:rsidRPr="00000E55">
      <w:rPr>
        <w:color w:val="auto"/>
        <w:sz w:val="16"/>
      </w:rPr>
      <w:t xml:space="preserve"> /</w:t>
    </w:r>
    <w:r w:rsidR="0099645C">
      <w:rPr>
        <w:color w:val="auto"/>
        <w:sz w:val="16"/>
      </w:rPr>
      <w:t xml:space="preserve"> </w:t>
    </w:r>
    <w:r w:rsidR="00B50EA8" w:rsidRPr="00000E55">
      <w:rPr>
        <w:rStyle w:val="Paginanummer"/>
        <w:color w:val="auto"/>
        <w:sz w:val="16"/>
      </w:rPr>
      <w:fldChar w:fldCharType="begin"/>
    </w:r>
    <w:r w:rsidR="00B50EA8" w:rsidRPr="00000E55">
      <w:rPr>
        <w:rStyle w:val="Paginanummer"/>
        <w:color w:val="auto"/>
        <w:sz w:val="16"/>
      </w:rPr>
      <w:instrText xml:space="preserve"> PAGE </w:instrText>
    </w:r>
    <w:r w:rsidR="00B50EA8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B50EA8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B9F5" w14:textId="77777777" w:rsidR="001855AD" w:rsidRDefault="001855AD" w:rsidP="00000E55">
      <w:pPr>
        <w:spacing w:line="240" w:lineRule="auto"/>
      </w:pPr>
      <w:r>
        <w:separator/>
      </w:r>
    </w:p>
  </w:footnote>
  <w:footnote w:type="continuationSeparator" w:id="0">
    <w:p w14:paraId="0811DF26" w14:textId="77777777" w:rsidR="001855AD" w:rsidRDefault="001855AD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232FCA25" w:rsidR="00B50EA8" w:rsidRPr="00000E55" w:rsidRDefault="00B50EA8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>
      <w:rPr>
        <w:caps/>
        <w:color w:val="auto"/>
      </w:rPr>
      <w:t>Teamleider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D5DE0"/>
    <w:multiLevelType w:val="hybridMultilevel"/>
    <w:tmpl w:val="FBA6D1A2"/>
    <w:lvl w:ilvl="0" w:tplc="F912E0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8D3139"/>
    <w:multiLevelType w:val="hybridMultilevel"/>
    <w:tmpl w:val="5978DC22"/>
    <w:lvl w:ilvl="0" w:tplc="721048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57F7D"/>
    <w:multiLevelType w:val="hybridMultilevel"/>
    <w:tmpl w:val="7F0ECAD4"/>
    <w:lvl w:ilvl="0" w:tplc="35428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96618"/>
    <w:rsid w:val="000A428C"/>
    <w:rsid w:val="000A552B"/>
    <w:rsid w:val="000F1094"/>
    <w:rsid w:val="00127679"/>
    <w:rsid w:val="00143564"/>
    <w:rsid w:val="001855AD"/>
    <w:rsid w:val="00255B53"/>
    <w:rsid w:val="0026005D"/>
    <w:rsid w:val="002B121C"/>
    <w:rsid w:val="002B3C7B"/>
    <w:rsid w:val="002D343F"/>
    <w:rsid w:val="00302CD0"/>
    <w:rsid w:val="003749C0"/>
    <w:rsid w:val="00382DF5"/>
    <w:rsid w:val="003D2E81"/>
    <w:rsid w:val="003D5E8F"/>
    <w:rsid w:val="003F0B83"/>
    <w:rsid w:val="004260D8"/>
    <w:rsid w:val="00474625"/>
    <w:rsid w:val="00497310"/>
    <w:rsid w:val="004C4604"/>
    <w:rsid w:val="004C4C68"/>
    <w:rsid w:val="004D03F1"/>
    <w:rsid w:val="004D40FF"/>
    <w:rsid w:val="004D56EB"/>
    <w:rsid w:val="0052174C"/>
    <w:rsid w:val="005316AA"/>
    <w:rsid w:val="00554835"/>
    <w:rsid w:val="00580AB9"/>
    <w:rsid w:val="005D4F42"/>
    <w:rsid w:val="0062683E"/>
    <w:rsid w:val="00652342"/>
    <w:rsid w:val="006970E3"/>
    <w:rsid w:val="006E3EF3"/>
    <w:rsid w:val="007210EB"/>
    <w:rsid w:val="00725FAF"/>
    <w:rsid w:val="00755377"/>
    <w:rsid w:val="00765374"/>
    <w:rsid w:val="007A329F"/>
    <w:rsid w:val="007C2641"/>
    <w:rsid w:val="00896C6D"/>
    <w:rsid w:val="008A72E7"/>
    <w:rsid w:val="008B64C7"/>
    <w:rsid w:val="008D12ED"/>
    <w:rsid w:val="00920637"/>
    <w:rsid w:val="009900D8"/>
    <w:rsid w:val="0099645C"/>
    <w:rsid w:val="009C5FF6"/>
    <w:rsid w:val="00A1553E"/>
    <w:rsid w:val="00A166B6"/>
    <w:rsid w:val="00A6107E"/>
    <w:rsid w:val="00A63DE3"/>
    <w:rsid w:val="00A67EF5"/>
    <w:rsid w:val="00A76CC9"/>
    <w:rsid w:val="00A77B31"/>
    <w:rsid w:val="00A85366"/>
    <w:rsid w:val="00AA570A"/>
    <w:rsid w:val="00AB6F17"/>
    <w:rsid w:val="00B02519"/>
    <w:rsid w:val="00B50EA8"/>
    <w:rsid w:val="00B72FD7"/>
    <w:rsid w:val="00B83555"/>
    <w:rsid w:val="00B950D1"/>
    <w:rsid w:val="00BA0138"/>
    <w:rsid w:val="00BB123A"/>
    <w:rsid w:val="00BB1382"/>
    <w:rsid w:val="00BB5502"/>
    <w:rsid w:val="00BD4F99"/>
    <w:rsid w:val="00C232A9"/>
    <w:rsid w:val="00C240D7"/>
    <w:rsid w:val="00C26049"/>
    <w:rsid w:val="00CA09EA"/>
    <w:rsid w:val="00CD5626"/>
    <w:rsid w:val="00D26F5C"/>
    <w:rsid w:val="00D91D39"/>
    <w:rsid w:val="00DA79D3"/>
    <w:rsid w:val="00DE0A8F"/>
    <w:rsid w:val="00DE1460"/>
    <w:rsid w:val="00E1795A"/>
    <w:rsid w:val="00E320BA"/>
    <w:rsid w:val="00E33AC1"/>
    <w:rsid w:val="00E561F8"/>
    <w:rsid w:val="00E56C5A"/>
    <w:rsid w:val="00E87BF9"/>
    <w:rsid w:val="00E9461B"/>
    <w:rsid w:val="00EE640F"/>
    <w:rsid w:val="00EF7BD0"/>
    <w:rsid w:val="00F35A5E"/>
    <w:rsid w:val="00F40F75"/>
    <w:rsid w:val="00F7735D"/>
    <w:rsid w:val="00FB7838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10</TotalTime>
  <Pages>1</Pages>
  <Words>292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1900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12</cp:revision>
  <cp:lastPrinted>2013-10-24T09:31:00Z</cp:lastPrinted>
  <dcterms:created xsi:type="dcterms:W3CDTF">2015-10-21T12:56:00Z</dcterms:created>
  <dcterms:modified xsi:type="dcterms:W3CDTF">2016-10-18T15:04:00Z</dcterms:modified>
</cp:coreProperties>
</file>